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984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偏离方案报告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6349"/>
      </w:tblGrid>
      <w:tr w14:paraId="7BACA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9" w:type="dxa"/>
            <w:noWrap w:val="0"/>
            <w:vAlign w:val="center"/>
          </w:tcPr>
          <w:p w14:paraId="24EABCD5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7560" w:type="dxa"/>
            <w:noWrap w:val="0"/>
            <w:vAlign w:val="top"/>
          </w:tcPr>
          <w:p w14:paraId="7C42ADD5"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211D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9" w:type="dxa"/>
            <w:noWrap w:val="0"/>
            <w:vAlign w:val="center"/>
          </w:tcPr>
          <w:p w14:paraId="6D258AFB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项目来源</w:t>
            </w:r>
          </w:p>
        </w:tc>
        <w:tc>
          <w:tcPr>
            <w:tcW w:w="7560" w:type="dxa"/>
            <w:noWrap w:val="0"/>
            <w:vAlign w:val="top"/>
          </w:tcPr>
          <w:p w14:paraId="30BAA358"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A437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9" w:type="dxa"/>
            <w:noWrap w:val="0"/>
            <w:vAlign w:val="center"/>
          </w:tcPr>
          <w:p w14:paraId="37D3D0A9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研究者</w:t>
            </w:r>
          </w:p>
        </w:tc>
        <w:tc>
          <w:tcPr>
            <w:tcW w:w="7560" w:type="dxa"/>
            <w:noWrap w:val="0"/>
            <w:vAlign w:val="center"/>
          </w:tcPr>
          <w:p w14:paraId="53BAF2F5"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BDC6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9" w:type="dxa"/>
            <w:noWrap w:val="0"/>
            <w:vAlign w:val="center"/>
          </w:tcPr>
          <w:p w14:paraId="1A61FA9D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专业科室</w:t>
            </w:r>
          </w:p>
        </w:tc>
        <w:tc>
          <w:tcPr>
            <w:tcW w:w="7560" w:type="dxa"/>
            <w:noWrap w:val="0"/>
            <w:vAlign w:val="top"/>
          </w:tcPr>
          <w:p w14:paraId="07D6EE7B"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3628A6C4">
      <w:pPr>
        <w:pStyle w:val="2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一、偏离方案的类别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7732"/>
      </w:tblGrid>
      <w:tr w14:paraId="68D27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871" w:type="dxa"/>
            <w:noWrap w:val="0"/>
            <w:vAlign w:val="center"/>
          </w:tcPr>
          <w:p w14:paraId="79286788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Wingdings" w:hAnsi="Wingdings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sym w:font="Wingdings" w:char="F0A8"/>
            </w:r>
          </w:p>
        </w:tc>
        <w:tc>
          <w:tcPr>
            <w:tcW w:w="9208" w:type="dxa"/>
            <w:noWrap w:val="0"/>
            <w:vAlign w:val="top"/>
          </w:tcPr>
          <w:p w14:paraId="78C0E7AC"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为消除对受试者的紧急危害，在伦理委员会同意前，研究者偏离方案</w:t>
            </w:r>
          </w:p>
        </w:tc>
      </w:tr>
    </w:tbl>
    <w:p w14:paraId="0F0D886D">
      <w:pPr>
        <w:pStyle w:val="2"/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7668"/>
      </w:tblGrid>
      <w:tr w14:paraId="60C55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6" w:type="dxa"/>
            <w:noWrap w:val="0"/>
            <w:vAlign w:val="center"/>
          </w:tcPr>
          <w:p w14:paraId="7EDF1C1A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Wingdings" w:hAnsi="Wingdings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sym w:font="Wingdings" w:char="F0A8"/>
            </w:r>
          </w:p>
        </w:tc>
        <w:tc>
          <w:tcPr>
            <w:tcW w:w="9133" w:type="dxa"/>
            <w:noWrap w:val="0"/>
            <w:vAlign w:val="top"/>
          </w:tcPr>
          <w:p w14:paraId="357A05F8"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研究纳入了不符合纳入标准或符合排除标准的受试者</w:t>
            </w:r>
          </w:p>
        </w:tc>
      </w:tr>
      <w:tr w14:paraId="7D913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6" w:type="dxa"/>
            <w:noWrap w:val="0"/>
            <w:vAlign w:val="center"/>
          </w:tcPr>
          <w:p w14:paraId="33096282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Wingdings" w:hAnsi="Wingdings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sym w:font="Wingdings" w:char="F0A8"/>
            </w:r>
          </w:p>
        </w:tc>
        <w:tc>
          <w:tcPr>
            <w:tcW w:w="9133" w:type="dxa"/>
            <w:noWrap w:val="0"/>
            <w:vAlign w:val="top"/>
          </w:tcPr>
          <w:p w14:paraId="7FC25A3F"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符合终止试验规定而未让受试者退出研究</w:t>
            </w:r>
          </w:p>
        </w:tc>
      </w:tr>
      <w:tr w14:paraId="42617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6" w:type="dxa"/>
            <w:noWrap w:val="0"/>
            <w:vAlign w:val="center"/>
          </w:tcPr>
          <w:p w14:paraId="41809A30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Wingdings" w:hAnsi="Wingdings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sym w:font="Wingdings" w:char="F0A8"/>
            </w:r>
          </w:p>
        </w:tc>
        <w:tc>
          <w:tcPr>
            <w:tcW w:w="9133" w:type="dxa"/>
            <w:noWrap w:val="0"/>
            <w:vAlign w:val="center"/>
          </w:tcPr>
          <w:p w14:paraId="4A5DB8C6"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给予错误的治疗或剂量</w:t>
            </w:r>
          </w:p>
        </w:tc>
      </w:tr>
      <w:tr w14:paraId="48ED7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6" w:type="dxa"/>
            <w:noWrap w:val="0"/>
            <w:vAlign w:val="center"/>
          </w:tcPr>
          <w:p w14:paraId="5C283861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Wingdings" w:hAnsi="Wingdings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sym w:font="Wingdings" w:char="F0A8"/>
            </w:r>
          </w:p>
        </w:tc>
        <w:tc>
          <w:tcPr>
            <w:tcW w:w="9133" w:type="dxa"/>
            <w:noWrap w:val="0"/>
            <w:vAlign w:val="top"/>
          </w:tcPr>
          <w:p w14:paraId="6B8688E8"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给予方案禁止的合并用药等情况</w:t>
            </w:r>
          </w:p>
        </w:tc>
      </w:tr>
      <w:tr w14:paraId="69AC9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6" w:type="dxa"/>
            <w:noWrap w:val="0"/>
            <w:vAlign w:val="center"/>
          </w:tcPr>
          <w:p w14:paraId="4C535F79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Wingdings" w:hAnsi="Wingdings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sym w:font="Wingdings" w:char="F0A8"/>
            </w:r>
          </w:p>
        </w:tc>
        <w:tc>
          <w:tcPr>
            <w:tcW w:w="9133" w:type="dxa"/>
            <w:noWrap w:val="0"/>
            <w:vAlign w:val="top"/>
          </w:tcPr>
          <w:p w14:paraId="5EA525B4"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可能对受试者的权益和安全造成显著影响的情况</w:t>
            </w:r>
          </w:p>
        </w:tc>
      </w:tr>
      <w:tr w14:paraId="5B748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6" w:type="dxa"/>
            <w:noWrap w:val="0"/>
            <w:vAlign w:val="center"/>
          </w:tcPr>
          <w:p w14:paraId="1CAE2C7C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Wingdings" w:hAnsi="Wingdings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sym w:font="Wingdings" w:char="F0A8"/>
            </w:r>
          </w:p>
        </w:tc>
        <w:tc>
          <w:tcPr>
            <w:tcW w:w="9133" w:type="dxa"/>
            <w:noWrap w:val="0"/>
            <w:vAlign w:val="top"/>
          </w:tcPr>
          <w:p w14:paraId="5EE68C0C"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研究的科学性造成显著影响的情况</w:t>
            </w:r>
          </w:p>
        </w:tc>
      </w:tr>
      <w:tr w14:paraId="0565C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6" w:type="dxa"/>
            <w:noWrap w:val="0"/>
            <w:vAlign w:val="center"/>
          </w:tcPr>
          <w:p w14:paraId="5CD0C405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Wingdings" w:hAnsi="Wingdings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sym w:font="Wingdings" w:char="F0A8"/>
            </w:r>
          </w:p>
        </w:tc>
        <w:tc>
          <w:tcPr>
            <w:tcW w:w="9133" w:type="dxa"/>
            <w:noWrap w:val="0"/>
            <w:vAlign w:val="center"/>
          </w:tcPr>
          <w:p w14:paraId="19FF0813"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同一研究人员的同一违规行为在被要求纠正后,再次发生</w:t>
            </w:r>
          </w:p>
        </w:tc>
      </w:tr>
      <w:tr w14:paraId="390AC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6" w:type="dxa"/>
            <w:noWrap w:val="0"/>
            <w:vAlign w:val="center"/>
          </w:tcPr>
          <w:p w14:paraId="28A6E6C9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Wingdings" w:hAnsi="Wingdings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sym w:font="Wingdings" w:char="F0A8"/>
            </w:r>
          </w:p>
        </w:tc>
        <w:tc>
          <w:tcPr>
            <w:tcW w:w="9133" w:type="dxa"/>
            <w:noWrap w:val="0"/>
            <w:vAlign w:val="top"/>
          </w:tcPr>
          <w:p w14:paraId="2BFC6A88"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研究者不配合监查/稽查</w:t>
            </w:r>
          </w:p>
        </w:tc>
      </w:tr>
      <w:tr w14:paraId="2BF3E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6" w:type="dxa"/>
            <w:noWrap w:val="0"/>
            <w:vAlign w:val="center"/>
          </w:tcPr>
          <w:p w14:paraId="440C4F7C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Wingdings" w:hAnsi="Wingdings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sym w:font="Wingdings" w:char="F0A8"/>
            </w:r>
          </w:p>
        </w:tc>
        <w:tc>
          <w:tcPr>
            <w:tcW w:w="9133" w:type="dxa"/>
            <w:noWrap w:val="0"/>
            <w:vAlign w:val="top"/>
          </w:tcPr>
          <w:p w14:paraId="002457F1"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违规事件不予以纠正</w:t>
            </w:r>
          </w:p>
        </w:tc>
      </w:tr>
      <w:tr w14:paraId="3E848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6" w:type="dxa"/>
            <w:noWrap w:val="0"/>
            <w:vAlign w:val="center"/>
          </w:tcPr>
          <w:p w14:paraId="627F7DE4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Wingdings" w:hAnsi="Wingdings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sym w:font="Wingdings" w:char="F0A8"/>
            </w:r>
          </w:p>
        </w:tc>
        <w:tc>
          <w:tcPr>
            <w:tcW w:w="9133" w:type="dxa"/>
            <w:noWrap w:val="0"/>
            <w:vAlign w:val="top"/>
          </w:tcPr>
          <w:p w14:paraId="453BDAA9"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其他</w:t>
            </w:r>
          </w:p>
        </w:tc>
      </w:tr>
    </w:tbl>
    <w:p w14:paraId="2D100F7C">
      <w:pPr>
        <w:pStyle w:val="2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二、偏离方案的描述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2A45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0079" w:type="dxa"/>
            <w:noWrap w:val="0"/>
            <w:vAlign w:val="center"/>
          </w:tcPr>
          <w:p w14:paraId="3CD3A083"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389BFD32">
      <w:pPr>
        <w:pStyle w:val="2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三、对偏离方案采取的纠正措施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E565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0079" w:type="dxa"/>
            <w:noWrap w:val="0"/>
            <w:vAlign w:val="center"/>
          </w:tcPr>
          <w:p w14:paraId="62A7668D"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2D68C07A">
      <w:pPr>
        <w:pStyle w:val="2"/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6365"/>
      </w:tblGrid>
      <w:tr w14:paraId="6162A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</w:trPr>
        <w:tc>
          <w:tcPr>
            <w:tcW w:w="2508" w:type="dxa"/>
            <w:noWrap w:val="0"/>
            <w:vAlign w:val="center"/>
          </w:tcPr>
          <w:p w14:paraId="56CA0A19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研究者签字</w:t>
            </w:r>
          </w:p>
        </w:tc>
        <w:tc>
          <w:tcPr>
            <w:tcW w:w="7571" w:type="dxa"/>
            <w:noWrap w:val="0"/>
            <w:vAlign w:val="top"/>
          </w:tcPr>
          <w:p w14:paraId="152A37BB"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281D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</w:trPr>
        <w:tc>
          <w:tcPr>
            <w:tcW w:w="2508" w:type="dxa"/>
            <w:noWrap w:val="0"/>
            <w:vAlign w:val="center"/>
          </w:tcPr>
          <w:p w14:paraId="61DCFBE0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日期</w:t>
            </w:r>
          </w:p>
        </w:tc>
        <w:tc>
          <w:tcPr>
            <w:tcW w:w="7571" w:type="dxa"/>
            <w:noWrap w:val="0"/>
            <w:vAlign w:val="top"/>
          </w:tcPr>
          <w:p w14:paraId="05314F20"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 年   月   日</w:t>
            </w:r>
          </w:p>
        </w:tc>
      </w:tr>
    </w:tbl>
    <w:p w14:paraId="4091A959">
      <w:pPr>
        <w:spacing w:before="0" w:beforeLines="0" w:after="0" w:afterLines="0" w:line="360" w:lineRule="auto"/>
        <w:ind w:left="0" w:leftChars="0" w:right="0" w:rightChars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1D772">
    <w:pPr>
      <w:pStyle w:val="2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2DEDA6">
                          <w:pPr>
                            <w:pStyle w:val="2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2DEDA6">
                    <w:pPr>
                      <w:pStyle w:val="23"/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D5E57">
    <w:pPr>
      <w:pStyle w:val="22"/>
      <w:jc w:val="distribute"/>
    </w:pPr>
    <w:r>
      <w:rPr>
        <w:rFonts w:hint="eastAsia"/>
        <w:sz w:val="18"/>
        <w:szCs w:val="24"/>
      </w:rPr>
      <w:drawing>
        <wp:inline distT="0" distB="0" distL="114300" distR="114300">
          <wp:extent cx="1111250" cy="339725"/>
          <wp:effectExtent l="0" t="0" r="12700" b="3175"/>
          <wp:docPr id="3" name="图片 3" descr="def47d144038185525a895f31f1be8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def47d144038185525a895f31f1be8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1250" cy="339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sz w:val="18"/>
        <w:szCs w:val="24"/>
        <w:lang w:val="en-US" w:eastAsia="zh-CN"/>
      </w:rPr>
      <w:t xml:space="preserve">                                                 </w:t>
    </w:r>
    <w:bookmarkStart w:id="0" w:name="_GoBack"/>
    <w:bookmarkEnd w:id="0"/>
    <w:r>
      <w:rPr>
        <w:rFonts w:hint="eastAsia"/>
        <w:sz w:val="18"/>
        <w:szCs w:val="24"/>
        <w:lang w:val="en-US" w:eastAsia="zh-CN"/>
      </w:rPr>
      <w:t xml:space="preserve">    </w:t>
    </w:r>
    <w:r>
      <w:rPr>
        <w:rFonts w:hint="eastAsia" w:ascii="宋体" w:hAnsi="宋体" w:eastAsia="宋体" w:cs="宋体"/>
        <w:sz w:val="21"/>
        <w:szCs w:val="21"/>
      </w:rPr>
      <w:t>LL-SOP-0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18</w:t>
    </w:r>
    <w:r>
      <w:rPr>
        <w:rFonts w:hint="eastAsia" w:ascii="宋体" w:hAnsi="宋体" w:eastAsia="宋体" w:cs="宋体"/>
        <w:sz w:val="21"/>
        <w:szCs w:val="21"/>
      </w:rPr>
      <w:t>-001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mMGRmNDAxYTdmMWM5ZWYxZGJmZTBhY2Y0OTE2Y2QifQ=="/>
  </w:docVars>
  <w:rsids>
    <w:rsidRoot w:val="00A17466"/>
    <w:rsid w:val="000F0F46"/>
    <w:rsid w:val="00182A65"/>
    <w:rsid w:val="001C117D"/>
    <w:rsid w:val="001D4C9C"/>
    <w:rsid w:val="001E007D"/>
    <w:rsid w:val="00245A83"/>
    <w:rsid w:val="002630BB"/>
    <w:rsid w:val="00264516"/>
    <w:rsid w:val="00325021"/>
    <w:rsid w:val="003C7FC7"/>
    <w:rsid w:val="004176CD"/>
    <w:rsid w:val="005C3D67"/>
    <w:rsid w:val="006326C7"/>
    <w:rsid w:val="00687968"/>
    <w:rsid w:val="006E406A"/>
    <w:rsid w:val="00812FD1"/>
    <w:rsid w:val="00857F97"/>
    <w:rsid w:val="008B7A7B"/>
    <w:rsid w:val="008E2A9F"/>
    <w:rsid w:val="00931C57"/>
    <w:rsid w:val="00A17466"/>
    <w:rsid w:val="00A67F06"/>
    <w:rsid w:val="00AA0C3A"/>
    <w:rsid w:val="00B02EC7"/>
    <w:rsid w:val="00B4149A"/>
    <w:rsid w:val="00C03441"/>
    <w:rsid w:val="00C3045B"/>
    <w:rsid w:val="00C5047E"/>
    <w:rsid w:val="00D822A6"/>
    <w:rsid w:val="00DB3E87"/>
    <w:rsid w:val="00F25C8E"/>
    <w:rsid w:val="00F6273D"/>
    <w:rsid w:val="025C19EB"/>
    <w:rsid w:val="032553BE"/>
    <w:rsid w:val="0481066A"/>
    <w:rsid w:val="049F168E"/>
    <w:rsid w:val="04AB1B35"/>
    <w:rsid w:val="04B9166A"/>
    <w:rsid w:val="069C1EDE"/>
    <w:rsid w:val="07D46959"/>
    <w:rsid w:val="09B91F92"/>
    <w:rsid w:val="0A025322"/>
    <w:rsid w:val="0AEF3982"/>
    <w:rsid w:val="0C0B13B7"/>
    <w:rsid w:val="0C4A0131"/>
    <w:rsid w:val="0F1458F5"/>
    <w:rsid w:val="0F671971"/>
    <w:rsid w:val="0F7A766B"/>
    <w:rsid w:val="105C108E"/>
    <w:rsid w:val="10C81F6C"/>
    <w:rsid w:val="10DD28E4"/>
    <w:rsid w:val="12690059"/>
    <w:rsid w:val="13702B73"/>
    <w:rsid w:val="13A3743F"/>
    <w:rsid w:val="14A373BD"/>
    <w:rsid w:val="158562DB"/>
    <w:rsid w:val="16552CF9"/>
    <w:rsid w:val="17A62B3F"/>
    <w:rsid w:val="1AB17553"/>
    <w:rsid w:val="1B515E62"/>
    <w:rsid w:val="1B7D399A"/>
    <w:rsid w:val="1F776E74"/>
    <w:rsid w:val="20DC6AED"/>
    <w:rsid w:val="20EE445C"/>
    <w:rsid w:val="21556F04"/>
    <w:rsid w:val="216B6728"/>
    <w:rsid w:val="218809FB"/>
    <w:rsid w:val="21C52285"/>
    <w:rsid w:val="232D516A"/>
    <w:rsid w:val="23D63BA6"/>
    <w:rsid w:val="242342AC"/>
    <w:rsid w:val="246F7D55"/>
    <w:rsid w:val="24821E73"/>
    <w:rsid w:val="266320C3"/>
    <w:rsid w:val="26FC3E04"/>
    <w:rsid w:val="2A426494"/>
    <w:rsid w:val="2B3E3CDF"/>
    <w:rsid w:val="2C796697"/>
    <w:rsid w:val="31DE5D46"/>
    <w:rsid w:val="324C6F1A"/>
    <w:rsid w:val="32BF0681"/>
    <w:rsid w:val="33044F21"/>
    <w:rsid w:val="336F3B21"/>
    <w:rsid w:val="3496390E"/>
    <w:rsid w:val="35057355"/>
    <w:rsid w:val="36631EEF"/>
    <w:rsid w:val="37240B56"/>
    <w:rsid w:val="37730ECE"/>
    <w:rsid w:val="381A5444"/>
    <w:rsid w:val="3AB04982"/>
    <w:rsid w:val="3B561D9F"/>
    <w:rsid w:val="3B5D4EDB"/>
    <w:rsid w:val="3BC90495"/>
    <w:rsid w:val="3CD11BEE"/>
    <w:rsid w:val="3CDE7C86"/>
    <w:rsid w:val="40664832"/>
    <w:rsid w:val="41E748C3"/>
    <w:rsid w:val="41F4344C"/>
    <w:rsid w:val="44E87F0C"/>
    <w:rsid w:val="455E5B46"/>
    <w:rsid w:val="457B0F4F"/>
    <w:rsid w:val="46F67B23"/>
    <w:rsid w:val="479A74E4"/>
    <w:rsid w:val="48ED0CE3"/>
    <w:rsid w:val="4A8C0235"/>
    <w:rsid w:val="4CFE51A4"/>
    <w:rsid w:val="4DAC5CDC"/>
    <w:rsid w:val="4E6B5621"/>
    <w:rsid w:val="4EC67D81"/>
    <w:rsid w:val="4FC52BF9"/>
    <w:rsid w:val="501A5281"/>
    <w:rsid w:val="51406FF3"/>
    <w:rsid w:val="55D1024F"/>
    <w:rsid w:val="563D798B"/>
    <w:rsid w:val="57617431"/>
    <w:rsid w:val="576857F3"/>
    <w:rsid w:val="581A5B9B"/>
    <w:rsid w:val="588E3E1F"/>
    <w:rsid w:val="58D205B2"/>
    <w:rsid w:val="59050C34"/>
    <w:rsid w:val="5931231E"/>
    <w:rsid w:val="5A6048D2"/>
    <w:rsid w:val="5AD71948"/>
    <w:rsid w:val="5B8A1460"/>
    <w:rsid w:val="5C416DE7"/>
    <w:rsid w:val="5F686A11"/>
    <w:rsid w:val="64066BCF"/>
    <w:rsid w:val="6469264C"/>
    <w:rsid w:val="661216A2"/>
    <w:rsid w:val="66A75B07"/>
    <w:rsid w:val="6739383E"/>
    <w:rsid w:val="679F361D"/>
    <w:rsid w:val="687202C7"/>
    <w:rsid w:val="6B32149E"/>
    <w:rsid w:val="6B9A5401"/>
    <w:rsid w:val="6C3262D3"/>
    <w:rsid w:val="6CF02B48"/>
    <w:rsid w:val="6D066DA1"/>
    <w:rsid w:val="6E1A0963"/>
    <w:rsid w:val="6E600008"/>
    <w:rsid w:val="6E6617C3"/>
    <w:rsid w:val="6F503DBF"/>
    <w:rsid w:val="6F622ED5"/>
    <w:rsid w:val="6F810263"/>
    <w:rsid w:val="6FD902CD"/>
    <w:rsid w:val="6FDF1C7D"/>
    <w:rsid w:val="701F2071"/>
    <w:rsid w:val="70861560"/>
    <w:rsid w:val="70C42B06"/>
    <w:rsid w:val="71182523"/>
    <w:rsid w:val="720556C7"/>
    <w:rsid w:val="728A1F6C"/>
    <w:rsid w:val="72961A9E"/>
    <w:rsid w:val="72BA48BB"/>
    <w:rsid w:val="736D3206"/>
    <w:rsid w:val="74F6547D"/>
    <w:rsid w:val="76DA5057"/>
    <w:rsid w:val="7838002B"/>
    <w:rsid w:val="78A551F0"/>
    <w:rsid w:val="79952967"/>
    <w:rsid w:val="79E207BC"/>
    <w:rsid w:val="7A827746"/>
    <w:rsid w:val="7B080EB9"/>
    <w:rsid w:val="7C40374F"/>
    <w:rsid w:val="7C6B71BD"/>
    <w:rsid w:val="7DC2406D"/>
    <w:rsid w:val="7DC26844"/>
    <w:rsid w:val="7E4F2A7C"/>
    <w:rsid w:val="DB5B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qFormat="1" w:unhideWhenUsed="0" w:uiPriority="1624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40" w:firstLineChars="200"/>
    </w:pPr>
    <w:rPr>
      <w:rFonts w:ascii="宋体" w:hAnsi="宋体" w:cs="宋体"/>
      <w:sz w:val="28"/>
      <w:szCs w:val="28"/>
    </w:rPr>
  </w:style>
  <w:style w:type="paragraph" w:styleId="3">
    <w:name w:val="Plain Text"/>
    <w:basedOn w:val="1"/>
    <w:autoRedefine/>
    <w:qFormat/>
    <w:uiPriority w:val="1624"/>
    <w:rPr>
      <w:rFonts w:hint="eastAsia" w:ascii="宋体" w:hAnsi="Courier New" w:cs="Courier New"/>
      <w:szCs w:val="21"/>
    </w:rPr>
  </w:style>
  <w:style w:type="paragraph" w:styleId="4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semiHidden/>
    <w:unhideWhenUsed/>
    <w:qFormat/>
    <w:uiPriority w:val="39"/>
  </w:style>
  <w:style w:type="paragraph" w:styleId="8">
    <w:name w:val="HTML Preformatted"/>
    <w:basedOn w:val="1"/>
    <w:autoRedefine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宋体" w:cs="Arial Unicode MS"/>
      <w:kern w:val="0"/>
      <w:sz w:val="20"/>
      <w:szCs w:val="20"/>
    </w:rPr>
  </w:style>
  <w:style w:type="paragraph" w:styleId="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autoRedefine/>
    <w:qFormat/>
    <w:uiPriority w:val="0"/>
    <w:rPr>
      <w:i/>
    </w:rPr>
  </w:style>
  <w:style w:type="character" w:styleId="14">
    <w:name w:val="Hyperlink"/>
    <w:basedOn w:val="12"/>
    <w:autoRedefine/>
    <w:qFormat/>
    <w:uiPriority w:val="0"/>
    <w:rPr>
      <w:color w:val="0000FF"/>
      <w:u w:val="single"/>
    </w:rPr>
  </w:style>
  <w:style w:type="character" w:customStyle="1" w:styleId="15">
    <w:name w:val="页眉 Char"/>
    <w:basedOn w:val="12"/>
    <w:link w:val="6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5"/>
    <w:autoRedefine/>
    <w:qFormat/>
    <w:uiPriority w:val="99"/>
    <w:rPr>
      <w:sz w:val="18"/>
      <w:szCs w:val="18"/>
    </w:rPr>
  </w:style>
  <w:style w:type="character" w:customStyle="1" w:styleId="17">
    <w:name w:val="批注框文本 Char"/>
    <w:basedOn w:val="12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9">
    <w:name w:val="WPSOffice手动目录 1"/>
    <w:autoRedefine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  <w:lang w:val="en-US" w:eastAsia="zh-CN" w:bidi="ar-SA"/>
    </w:rPr>
  </w:style>
  <w:style w:type="paragraph" w:customStyle="1" w:styleId="20">
    <w:name w:val="Char"/>
    <w:basedOn w:val="1"/>
    <w:next w:val="3"/>
    <w:autoRedefine/>
    <w:qFormat/>
    <w:uiPriority w:val="0"/>
    <w:rPr>
      <w:szCs w:val="20"/>
    </w:rPr>
  </w:style>
  <w:style w:type="character" w:customStyle="1" w:styleId="21">
    <w:name w:val="font21"/>
    <w:basedOn w:val="12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2">
    <w:name w:val="Header_0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  <w:szCs w:val="24"/>
    </w:rPr>
  </w:style>
  <w:style w:type="paragraph" w:customStyle="1" w:styleId="23">
    <w:name w:val="Footer_0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252</Words>
  <Characters>252</Characters>
  <Lines>32</Lines>
  <Paragraphs>9</Paragraphs>
  <TotalTime>0</TotalTime>
  <ScaleCrop>false</ScaleCrop>
  <LinksUpToDate>false</LinksUpToDate>
  <CharactersWithSpaces>260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2019-10-01T09:55:00Z</dcterms:created>
  <dc:creator>BGS</dc:creator>
  <cp:lastModifiedBy>八圈</cp:lastModifiedBy>
  <cp:lastPrinted>2019-10-09T11:10:00Z</cp:lastPrinted>
  <dcterms:modified xsi:type="dcterms:W3CDTF">2024-10-17T08:08:21Z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eyJoZGlkIjoiOWJlNWQ3MzYwZmQzMWZiMmZiYmQ2NzQ4OTk0NDA3YzIifQ==</vt:lpwstr>
  </property>
  <property fmtid="{D5CDD505-2E9C-101B-9397-08002B2CF9AE}" pid="3" name="ICV">
    <vt:lpwstr>209E9E66D2854B928F0E0C415BA723FC</vt:lpwstr>
  </property>
  <property fmtid="{D5CDD505-2E9C-101B-9397-08002B2CF9AE}" pid="4" name="KSOProductBuildVer">
    <vt:lpwstr>2052-12.1.0.18276</vt:lpwstr>
  </property>
</Properties>
</file>